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CE2E3" w14:textId="77777777" w:rsidR="007933B8" w:rsidRPr="006B690D" w:rsidRDefault="007E3215" w:rsidP="000C2469">
      <w:pPr>
        <w:spacing w:after="360" w:line="276" w:lineRule="auto"/>
        <w:jc w:val="both"/>
        <w:rPr>
          <w:rFonts w:ascii="Lato" w:hAnsi="Lato" w:cs="Times New Roman"/>
          <w:sz w:val="22"/>
          <w:szCs w:val="22"/>
        </w:rPr>
      </w:pPr>
      <w:r w:rsidRPr="006B690D">
        <w:rPr>
          <w:rFonts w:ascii="Lato" w:hAnsi="Lato" w:cs="Times New Roman"/>
          <w:noProof/>
          <w:sz w:val="22"/>
          <w:szCs w:val="22"/>
        </w:rPr>
        <w:drawing>
          <wp:inline distT="0" distB="0" distL="0" distR="0" wp14:anchorId="5779AB9D" wp14:editId="71B99B12">
            <wp:extent cx="571500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5715000" cy="495300"/>
                    </a:xfrm>
                    <a:prstGeom prst="rect">
                      <a:avLst/>
                    </a:prstGeom>
                  </pic:spPr>
                </pic:pic>
              </a:graphicData>
            </a:graphic>
          </wp:inline>
        </w:drawing>
      </w:r>
    </w:p>
    <w:p w14:paraId="25B8E174" w14:textId="77777777" w:rsidR="007933B8" w:rsidRPr="006B690D" w:rsidRDefault="007E3215" w:rsidP="000C2469">
      <w:pPr>
        <w:spacing w:after="120" w:line="276" w:lineRule="auto"/>
        <w:jc w:val="both"/>
        <w:rPr>
          <w:rFonts w:ascii="Lato" w:hAnsi="Lato" w:cs="Times New Roman"/>
          <w:sz w:val="22"/>
          <w:szCs w:val="22"/>
        </w:rPr>
      </w:pPr>
      <w:bookmarkStart w:id="0" w:name="_Hlk233371718"/>
      <w:r w:rsidRPr="006B690D">
        <w:rPr>
          <w:rFonts w:ascii="Lato" w:hAnsi="Lato" w:cs="Times New Roman"/>
          <w:b/>
          <w:bCs/>
          <w:color w:val="0047AB"/>
          <w:sz w:val="22"/>
          <w:szCs w:val="22"/>
        </w:rPr>
        <w:t>Comunicat de presă</w:t>
      </w:r>
    </w:p>
    <w:p w14:paraId="40ADE174" w14:textId="77777777" w:rsidR="007933B8" w:rsidRPr="006B690D" w:rsidRDefault="007E3215" w:rsidP="000C2469">
      <w:pPr>
        <w:spacing w:after="80" w:line="276" w:lineRule="auto"/>
        <w:jc w:val="both"/>
        <w:rPr>
          <w:rFonts w:ascii="Lato" w:hAnsi="Lato" w:cs="Times New Roman"/>
          <w:sz w:val="22"/>
          <w:szCs w:val="22"/>
        </w:rPr>
      </w:pPr>
      <w:r w:rsidRPr="006B690D">
        <w:rPr>
          <w:rFonts w:ascii="Lato" w:hAnsi="Lato" w:cs="Times New Roman"/>
          <w:color w:val="0047AB"/>
          <w:sz w:val="22"/>
          <w:szCs w:val="22"/>
        </w:rPr>
        <w:t>„PNRR: Fonduri pentru România modernă și reformată!”</w:t>
      </w:r>
    </w:p>
    <w:p w14:paraId="69AEEF76" w14:textId="77777777" w:rsidR="007933B8" w:rsidRPr="006B690D" w:rsidRDefault="007E3215" w:rsidP="000C2469">
      <w:pPr>
        <w:spacing w:after="360" w:line="276" w:lineRule="auto"/>
        <w:jc w:val="both"/>
        <w:rPr>
          <w:rFonts w:ascii="Lato" w:hAnsi="Lato" w:cs="Times New Roman"/>
          <w:sz w:val="22"/>
          <w:szCs w:val="22"/>
        </w:rPr>
      </w:pPr>
      <w:r w:rsidRPr="006B690D">
        <w:rPr>
          <w:rFonts w:ascii="Lato" w:hAnsi="Lato" w:cs="Times New Roman"/>
          <w:i/>
          <w:iCs/>
          <w:color w:val="555555"/>
          <w:sz w:val="22"/>
          <w:szCs w:val="22"/>
        </w:rPr>
        <w:t>Finalizarea proiectului de cercetare</w:t>
      </w:r>
    </w:p>
    <w:bookmarkEnd w:id="0"/>
    <w:p w14:paraId="77257747" w14:textId="020B39EE" w:rsidR="007933B8" w:rsidRPr="006B690D" w:rsidRDefault="007E3215" w:rsidP="000C2469">
      <w:pPr>
        <w:spacing w:after="160" w:line="276" w:lineRule="auto"/>
        <w:jc w:val="both"/>
        <w:rPr>
          <w:rFonts w:ascii="Lato" w:hAnsi="Lato" w:cs="Times New Roman"/>
          <w:sz w:val="22"/>
          <w:szCs w:val="22"/>
          <w:lang w:val="ro-RO"/>
        </w:rPr>
      </w:pPr>
      <w:r w:rsidRPr="006B690D">
        <w:rPr>
          <w:rFonts w:ascii="Lato" w:hAnsi="Lato" w:cs="Times New Roman"/>
          <w:sz w:val="22"/>
          <w:szCs w:val="22"/>
        </w:rPr>
        <w:t xml:space="preserve">Universitatea de Medicină, Farmacie, Științe și Tehnologie „George Emil Palade” din Târgu Mureș anunță finalizarea, la data de 30 iunie 2026, a proiectului de cercetare </w:t>
      </w:r>
      <w:r w:rsidR="00CC443F" w:rsidRPr="006B690D">
        <w:rPr>
          <w:rFonts w:ascii="Lato" w:hAnsi="Lato" w:cs="Times New Roman"/>
          <w:b/>
          <w:bCs/>
          <w:sz w:val="22"/>
          <w:szCs w:val="22"/>
        </w:rPr>
        <w:t>„</w:t>
      </w:r>
      <w:bookmarkStart w:id="1" w:name="_Hlk233371738"/>
      <w:r w:rsidR="00CC443F" w:rsidRPr="006B690D">
        <w:rPr>
          <w:rFonts w:ascii="Lato" w:hAnsi="Lato" w:cs="Times New Roman"/>
          <w:b/>
          <w:bCs/>
          <w:sz w:val="22"/>
          <w:szCs w:val="22"/>
        </w:rPr>
        <w:t>Intramural cells as biomarkers and therapeutic targets for Alzheimer's disease</w:t>
      </w:r>
      <w:bookmarkEnd w:id="1"/>
      <w:r w:rsidR="00CC443F" w:rsidRPr="006B690D">
        <w:rPr>
          <w:rFonts w:ascii="Lato" w:hAnsi="Lato" w:cs="Times New Roman"/>
          <w:b/>
          <w:bCs/>
          <w:sz w:val="22"/>
          <w:szCs w:val="22"/>
        </w:rPr>
        <w:t>”</w:t>
      </w:r>
      <w:r w:rsidRPr="006B690D">
        <w:rPr>
          <w:rFonts w:ascii="Lato" w:hAnsi="Lato" w:cs="Times New Roman"/>
          <w:sz w:val="22"/>
          <w:szCs w:val="22"/>
        </w:rPr>
        <w:t xml:space="preserve">, având ca director de proiect pe </w:t>
      </w:r>
      <w:r w:rsidR="00CC443F" w:rsidRPr="006B690D">
        <w:rPr>
          <w:rFonts w:ascii="Lato" w:hAnsi="Lato" w:cs="Times New Roman"/>
          <w:sz w:val="22"/>
          <w:szCs w:val="22"/>
        </w:rPr>
        <w:t>Prof.</w:t>
      </w:r>
      <w:r w:rsidR="00AD0EC7" w:rsidRPr="006B690D">
        <w:rPr>
          <w:rFonts w:ascii="Lato" w:hAnsi="Lato" w:cs="Times New Roman"/>
          <w:sz w:val="22"/>
          <w:szCs w:val="22"/>
        </w:rPr>
        <w:t xml:space="preserve"> u</w:t>
      </w:r>
      <w:r w:rsidR="00CC443F" w:rsidRPr="006B690D">
        <w:rPr>
          <w:rFonts w:ascii="Lato" w:hAnsi="Lato" w:cs="Times New Roman"/>
          <w:sz w:val="22"/>
          <w:szCs w:val="22"/>
        </w:rPr>
        <w:t>niv.</w:t>
      </w:r>
      <w:r w:rsidR="00AD0EC7" w:rsidRPr="006B690D">
        <w:rPr>
          <w:rFonts w:ascii="Lato" w:hAnsi="Lato" w:cs="Times New Roman"/>
          <w:sz w:val="22"/>
          <w:szCs w:val="22"/>
        </w:rPr>
        <w:t xml:space="preserve"> d</w:t>
      </w:r>
      <w:r w:rsidR="00CC443F" w:rsidRPr="006B690D">
        <w:rPr>
          <w:rFonts w:ascii="Lato" w:hAnsi="Lato" w:cs="Times New Roman"/>
          <w:sz w:val="22"/>
          <w:szCs w:val="22"/>
        </w:rPr>
        <w:t>r.</w:t>
      </w:r>
      <w:r w:rsidR="00AD0EC7" w:rsidRPr="006B690D">
        <w:rPr>
          <w:rFonts w:ascii="Lato" w:hAnsi="Lato" w:cs="Times New Roman"/>
          <w:sz w:val="22"/>
          <w:szCs w:val="22"/>
        </w:rPr>
        <w:t xml:space="preserve"> </w:t>
      </w:r>
      <w:r w:rsidR="00CC443F" w:rsidRPr="006B690D">
        <w:rPr>
          <w:rFonts w:ascii="Lato" w:hAnsi="Lato" w:cs="Times New Roman"/>
          <w:sz w:val="22"/>
          <w:szCs w:val="22"/>
        </w:rPr>
        <w:t>C</w:t>
      </w:r>
      <w:r w:rsidR="00CC443F" w:rsidRPr="006B690D">
        <w:rPr>
          <w:rFonts w:ascii="Lato" w:hAnsi="Lato" w:cs="Times New Roman"/>
          <w:sz w:val="22"/>
          <w:szCs w:val="22"/>
          <w:lang w:val="ro-RO"/>
        </w:rPr>
        <w:t>ărare Roxana Octavia</w:t>
      </w:r>
      <w:r w:rsidR="00AD0EC7" w:rsidRPr="006B690D">
        <w:rPr>
          <w:rFonts w:ascii="Lato" w:hAnsi="Lato" w:cs="Times New Roman"/>
          <w:sz w:val="22"/>
          <w:szCs w:val="22"/>
          <w:lang w:val="ro-RO"/>
        </w:rPr>
        <w:t>.</w:t>
      </w:r>
    </w:p>
    <w:p w14:paraId="735DD0D5" w14:textId="64B9CEAA" w:rsidR="007933B8" w:rsidRPr="006B690D" w:rsidRDefault="007E3215" w:rsidP="000C2469">
      <w:pPr>
        <w:spacing w:after="160" w:line="276" w:lineRule="auto"/>
        <w:jc w:val="both"/>
        <w:rPr>
          <w:rFonts w:ascii="Lato" w:hAnsi="Lato" w:cs="Times New Roman"/>
          <w:sz w:val="22"/>
          <w:szCs w:val="22"/>
        </w:rPr>
      </w:pPr>
      <w:r w:rsidRPr="006B690D">
        <w:rPr>
          <w:rFonts w:ascii="Lato" w:hAnsi="Lato" w:cs="Times New Roman"/>
          <w:sz w:val="22"/>
          <w:szCs w:val="22"/>
        </w:rPr>
        <w:t xml:space="preserve">Proiectul a fost finanțat în cadrul </w:t>
      </w:r>
      <w:r w:rsidRPr="006B690D">
        <w:rPr>
          <w:rFonts w:ascii="Lato" w:hAnsi="Lato" w:cs="Times New Roman"/>
          <w:b/>
          <w:bCs/>
          <w:sz w:val="22"/>
          <w:szCs w:val="22"/>
        </w:rPr>
        <w:t>Planului Național de Redresare și Reziliență (PNRR)</w:t>
      </w:r>
      <w:r w:rsidRPr="006B690D">
        <w:rPr>
          <w:rFonts w:ascii="Lato" w:hAnsi="Lato" w:cs="Times New Roman"/>
          <w:sz w:val="22"/>
          <w:szCs w:val="22"/>
        </w:rPr>
        <w:t xml:space="preserve">, Ministerul Cercetării, Inovării și Digitalizării – Componenta 9. Suport pentru Sectorul Privat, Cercetare, Dezvoltare și Inovare, Investiția I8 „Dezvoltarea unui program pentru atragerea resurselor umane înalt specializate din străinătate în activități de cercetare, dezvoltare și inovare” (runda a </w:t>
      </w:r>
      <w:r w:rsidR="00CC443F" w:rsidRPr="006B690D">
        <w:rPr>
          <w:rFonts w:ascii="Lato" w:hAnsi="Lato" w:cs="Times New Roman"/>
          <w:sz w:val="22"/>
          <w:szCs w:val="22"/>
        </w:rPr>
        <w:t>1</w:t>
      </w:r>
      <w:r w:rsidRPr="006B690D">
        <w:rPr>
          <w:rFonts w:ascii="Lato" w:hAnsi="Lato" w:cs="Times New Roman"/>
          <w:sz w:val="22"/>
          <w:szCs w:val="22"/>
        </w:rPr>
        <w:t>-a).</w:t>
      </w:r>
    </w:p>
    <w:p w14:paraId="712166E6" w14:textId="792A9FBA" w:rsidR="007933B8" w:rsidRPr="006B690D" w:rsidRDefault="007E3215" w:rsidP="000C2469">
      <w:pPr>
        <w:spacing w:after="160" w:line="276" w:lineRule="auto"/>
        <w:jc w:val="both"/>
        <w:rPr>
          <w:rFonts w:ascii="Lato" w:hAnsi="Lato" w:cs="Times New Roman"/>
          <w:sz w:val="22"/>
          <w:szCs w:val="22"/>
        </w:rPr>
      </w:pPr>
      <w:r w:rsidRPr="006B690D">
        <w:rPr>
          <w:rFonts w:ascii="Lato" w:hAnsi="Lato" w:cs="Times New Roman"/>
          <w:b/>
          <w:bCs/>
          <w:sz w:val="22"/>
          <w:szCs w:val="22"/>
        </w:rPr>
        <w:t xml:space="preserve">Beneficiar: </w:t>
      </w:r>
      <w:r w:rsidRPr="006B690D">
        <w:rPr>
          <w:rFonts w:ascii="Lato" w:hAnsi="Lato" w:cs="Times New Roman"/>
          <w:sz w:val="22"/>
          <w:szCs w:val="22"/>
        </w:rPr>
        <w:t>Universitatea de Medicină, Farmacie, Științe și Tehnologie „George Emil Palade” din Târgu Mureș</w:t>
      </w:r>
    </w:p>
    <w:p w14:paraId="29757892" w14:textId="733E9DE6" w:rsidR="007933B8" w:rsidRPr="006B690D" w:rsidRDefault="007E3215" w:rsidP="000C2469">
      <w:pPr>
        <w:spacing w:after="160" w:line="276" w:lineRule="auto"/>
        <w:jc w:val="both"/>
        <w:rPr>
          <w:rFonts w:ascii="Lato" w:hAnsi="Lato" w:cs="Times New Roman"/>
          <w:sz w:val="22"/>
          <w:szCs w:val="22"/>
        </w:rPr>
      </w:pPr>
      <w:r w:rsidRPr="006B690D">
        <w:rPr>
          <w:rFonts w:ascii="Lato" w:hAnsi="Lato" w:cs="Times New Roman"/>
          <w:b/>
          <w:bCs/>
          <w:sz w:val="22"/>
          <w:szCs w:val="22"/>
        </w:rPr>
        <w:t xml:space="preserve">Cod proiect / Contract de finanțare: </w:t>
      </w:r>
      <w:r w:rsidRPr="006B690D">
        <w:rPr>
          <w:rFonts w:ascii="Lato" w:hAnsi="Lato" w:cs="Times New Roman"/>
          <w:sz w:val="22"/>
          <w:szCs w:val="22"/>
        </w:rPr>
        <w:t>nr. 760</w:t>
      </w:r>
      <w:r w:rsidR="00CC443F" w:rsidRPr="006B690D">
        <w:rPr>
          <w:rFonts w:ascii="Lato" w:hAnsi="Lato" w:cs="Times New Roman"/>
          <w:sz w:val="22"/>
          <w:szCs w:val="22"/>
        </w:rPr>
        <w:t>108</w:t>
      </w:r>
      <w:r w:rsidRPr="006B690D">
        <w:rPr>
          <w:rFonts w:ascii="Lato" w:hAnsi="Lato" w:cs="Times New Roman"/>
          <w:sz w:val="22"/>
          <w:szCs w:val="22"/>
        </w:rPr>
        <w:t>/</w:t>
      </w:r>
      <w:r w:rsidR="00CC443F" w:rsidRPr="006B690D">
        <w:rPr>
          <w:rFonts w:ascii="Lato" w:hAnsi="Lato" w:cs="Times New Roman"/>
          <w:sz w:val="22"/>
          <w:szCs w:val="22"/>
        </w:rPr>
        <w:t>23.05.</w:t>
      </w:r>
      <w:r w:rsidRPr="006B690D">
        <w:rPr>
          <w:rFonts w:ascii="Lato" w:hAnsi="Lato" w:cs="Times New Roman"/>
          <w:sz w:val="22"/>
          <w:szCs w:val="22"/>
        </w:rPr>
        <w:t>2023</w:t>
      </w:r>
    </w:p>
    <w:p w14:paraId="1A9F4BFD" w14:textId="443C8028" w:rsidR="007933B8" w:rsidRPr="006B690D" w:rsidRDefault="007E3215" w:rsidP="000C2469">
      <w:pPr>
        <w:spacing w:after="160" w:line="276" w:lineRule="auto"/>
        <w:jc w:val="both"/>
        <w:rPr>
          <w:rFonts w:ascii="Lato" w:hAnsi="Lato" w:cs="Times New Roman"/>
          <w:sz w:val="22"/>
          <w:szCs w:val="22"/>
        </w:rPr>
      </w:pPr>
      <w:r w:rsidRPr="006B690D">
        <w:rPr>
          <w:rFonts w:ascii="Lato" w:hAnsi="Lato" w:cs="Times New Roman"/>
          <w:b/>
          <w:bCs/>
          <w:sz w:val="22"/>
          <w:szCs w:val="22"/>
        </w:rPr>
        <w:t xml:space="preserve">Perioada de implementare: </w:t>
      </w:r>
      <w:r w:rsidR="00CC443F" w:rsidRPr="006B690D">
        <w:rPr>
          <w:rFonts w:ascii="Lato" w:hAnsi="Lato" w:cs="Times New Roman"/>
          <w:sz w:val="22"/>
          <w:szCs w:val="22"/>
        </w:rPr>
        <w:t>01.07.2023</w:t>
      </w:r>
      <w:r w:rsidRPr="006B690D">
        <w:rPr>
          <w:rFonts w:ascii="Lato" w:hAnsi="Lato" w:cs="Times New Roman"/>
          <w:sz w:val="22"/>
          <w:szCs w:val="22"/>
        </w:rPr>
        <w:t xml:space="preserve"> – 30.06.2026 (3</w:t>
      </w:r>
      <w:r w:rsidR="00CC443F" w:rsidRPr="006B690D">
        <w:rPr>
          <w:rFonts w:ascii="Lato" w:hAnsi="Lato" w:cs="Times New Roman"/>
          <w:sz w:val="22"/>
          <w:szCs w:val="22"/>
        </w:rPr>
        <w:t>6</w:t>
      </w:r>
      <w:r w:rsidRPr="006B690D">
        <w:rPr>
          <w:rFonts w:ascii="Lato" w:hAnsi="Lato" w:cs="Times New Roman"/>
          <w:sz w:val="22"/>
          <w:szCs w:val="22"/>
        </w:rPr>
        <w:t xml:space="preserve"> de luni)</w:t>
      </w:r>
    </w:p>
    <w:p w14:paraId="6C32DF4E" w14:textId="79A371FC" w:rsidR="007933B8" w:rsidRPr="006B690D" w:rsidRDefault="007E3215" w:rsidP="000C2469">
      <w:pPr>
        <w:spacing w:after="160" w:line="276" w:lineRule="auto"/>
        <w:jc w:val="both"/>
        <w:rPr>
          <w:rFonts w:ascii="Lato" w:hAnsi="Lato" w:cs="Times New Roman"/>
          <w:sz w:val="22"/>
          <w:szCs w:val="22"/>
        </w:rPr>
      </w:pPr>
      <w:r w:rsidRPr="006B690D">
        <w:rPr>
          <w:rFonts w:ascii="Lato" w:hAnsi="Lato" w:cs="Times New Roman"/>
          <w:b/>
          <w:bCs/>
          <w:sz w:val="22"/>
          <w:szCs w:val="22"/>
        </w:rPr>
        <w:t xml:space="preserve">Valoarea totală a proiectului: </w:t>
      </w:r>
      <w:r w:rsidR="00CC443F" w:rsidRPr="006B690D">
        <w:rPr>
          <w:rFonts w:ascii="Lato" w:hAnsi="Lato" w:cs="Times New Roman"/>
          <w:sz w:val="22"/>
          <w:szCs w:val="22"/>
        </w:rPr>
        <w:t>7.000.000</w:t>
      </w:r>
      <w:r w:rsidRPr="006B690D">
        <w:rPr>
          <w:rFonts w:ascii="Lato" w:hAnsi="Lato" w:cs="Times New Roman"/>
          <w:sz w:val="22"/>
          <w:szCs w:val="22"/>
        </w:rPr>
        <w:t xml:space="preserve"> lei</w:t>
      </w:r>
      <w:r w:rsidR="00AE00BC" w:rsidRPr="006B690D">
        <w:rPr>
          <w:rFonts w:ascii="Lato" w:hAnsi="Lato" w:cs="Times New Roman"/>
          <w:sz w:val="22"/>
          <w:szCs w:val="22"/>
        </w:rPr>
        <w:t xml:space="preserve"> (valoare cheltuieli eligibile),</w:t>
      </w:r>
      <w:r w:rsidR="00AD0EC7" w:rsidRPr="006B690D">
        <w:rPr>
          <w:rFonts w:ascii="Lato" w:hAnsi="Lato" w:cs="Times New Roman"/>
          <w:sz w:val="22"/>
          <w:szCs w:val="22"/>
        </w:rPr>
        <w:t xml:space="preserve"> </w:t>
      </w:r>
      <w:r w:rsidR="00AE00BC" w:rsidRPr="006B690D">
        <w:rPr>
          <w:rFonts w:ascii="Lato" w:hAnsi="Lato" w:cs="Times New Roman"/>
          <w:sz w:val="22"/>
          <w:szCs w:val="22"/>
        </w:rPr>
        <w:t>fără TVA</w:t>
      </w:r>
      <w:r w:rsidR="00AD0EC7" w:rsidRPr="006B690D">
        <w:rPr>
          <w:rFonts w:ascii="Lato" w:hAnsi="Lato" w:cs="Times New Roman"/>
          <w:sz w:val="22"/>
          <w:szCs w:val="22"/>
        </w:rPr>
        <w:t xml:space="preserve">, </w:t>
      </w:r>
      <w:r w:rsidRPr="006B690D">
        <w:rPr>
          <w:rFonts w:ascii="Lato" w:hAnsi="Lato" w:cs="Times New Roman"/>
          <w:sz w:val="22"/>
          <w:szCs w:val="22"/>
        </w:rPr>
        <w:t>reprezentând echivalentul sumei de 1.</w:t>
      </w:r>
      <w:r w:rsidR="00AE00BC" w:rsidRPr="006B690D">
        <w:rPr>
          <w:rFonts w:ascii="Lato" w:hAnsi="Lato" w:cs="Times New Roman"/>
          <w:sz w:val="22"/>
          <w:szCs w:val="22"/>
        </w:rPr>
        <w:t>417.290,95</w:t>
      </w:r>
      <w:r w:rsidRPr="006B690D">
        <w:rPr>
          <w:rFonts w:ascii="Lato" w:hAnsi="Lato" w:cs="Times New Roman"/>
          <w:sz w:val="22"/>
          <w:szCs w:val="22"/>
        </w:rPr>
        <w:t xml:space="preserve"> euro</w:t>
      </w:r>
      <w:r w:rsidR="00AD0EC7" w:rsidRPr="006B690D">
        <w:rPr>
          <w:rFonts w:ascii="Lato" w:hAnsi="Lato" w:cs="Times New Roman"/>
          <w:sz w:val="22"/>
          <w:szCs w:val="22"/>
        </w:rPr>
        <w:t xml:space="preserve">, </w:t>
      </w:r>
      <w:r w:rsidR="00AE00BC" w:rsidRPr="006B690D">
        <w:rPr>
          <w:rFonts w:ascii="Lato" w:hAnsi="Lato" w:cs="Times New Roman"/>
          <w:sz w:val="22"/>
          <w:szCs w:val="22"/>
        </w:rPr>
        <w:t xml:space="preserve">calculată la cursul InfoEuro valabil </w:t>
      </w:r>
      <w:r w:rsidR="00AD0EC7" w:rsidRPr="006B690D">
        <w:rPr>
          <w:rFonts w:ascii="Lato" w:hAnsi="Lato" w:cs="Times New Roman"/>
          <w:sz w:val="22"/>
          <w:szCs w:val="22"/>
        </w:rPr>
        <w:t>l</w:t>
      </w:r>
      <w:r w:rsidR="00AE00BC" w:rsidRPr="006B690D">
        <w:rPr>
          <w:rFonts w:ascii="Lato" w:hAnsi="Lato" w:cs="Times New Roman"/>
          <w:sz w:val="22"/>
          <w:szCs w:val="22"/>
        </w:rPr>
        <w:t>a data semn</w:t>
      </w:r>
      <w:r w:rsidR="00D665B1" w:rsidRPr="006B690D">
        <w:rPr>
          <w:rFonts w:ascii="Lato" w:hAnsi="Lato" w:cs="Times New Roman"/>
          <w:sz w:val="22"/>
          <w:szCs w:val="22"/>
        </w:rPr>
        <w:t>ă</w:t>
      </w:r>
      <w:r w:rsidR="00AE00BC" w:rsidRPr="006B690D">
        <w:rPr>
          <w:rFonts w:ascii="Lato" w:hAnsi="Lato" w:cs="Times New Roman"/>
          <w:sz w:val="22"/>
          <w:szCs w:val="22"/>
        </w:rPr>
        <w:t>rii contractului</w:t>
      </w:r>
      <w:r w:rsidRPr="006B690D">
        <w:rPr>
          <w:rFonts w:ascii="Lato" w:hAnsi="Lato" w:cs="Times New Roman"/>
          <w:sz w:val="22"/>
          <w:szCs w:val="22"/>
        </w:rPr>
        <w:t>, finanțare nerambursabilă din PNRR.</w:t>
      </w:r>
    </w:p>
    <w:p w14:paraId="76ADAE97" w14:textId="77777777" w:rsidR="007933B8" w:rsidRPr="006B690D" w:rsidRDefault="007E3215" w:rsidP="000C2469">
      <w:pPr>
        <w:spacing w:before="120" w:after="100" w:line="276" w:lineRule="auto"/>
        <w:jc w:val="both"/>
        <w:rPr>
          <w:rFonts w:ascii="Lato" w:hAnsi="Lato" w:cs="Times New Roman"/>
          <w:sz w:val="22"/>
          <w:szCs w:val="22"/>
        </w:rPr>
      </w:pPr>
      <w:r w:rsidRPr="006B690D">
        <w:rPr>
          <w:rFonts w:ascii="Lato" w:hAnsi="Lato" w:cs="Times New Roman"/>
          <w:b/>
          <w:bCs/>
          <w:color w:val="0047AB"/>
          <w:sz w:val="22"/>
          <w:szCs w:val="22"/>
        </w:rPr>
        <w:t>Obiectivul general al proiectului</w:t>
      </w:r>
    </w:p>
    <w:p w14:paraId="000FCF6B" w14:textId="51221017" w:rsidR="007933B8" w:rsidRPr="006B690D" w:rsidRDefault="007E3215" w:rsidP="000C2469">
      <w:pPr>
        <w:spacing w:after="160" w:line="276" w:lineRule="auto"/>
        <w:jc w:val="both"/>
        <w:rPr>
          <w:rFonts w:ascii="Lato" w:hAnsi="Lato" w:cs="Times New Roman"/>
          <w:sz w:val="22"/>
          <w:szCs w:val="22"/>
        </w:rPr>
      </w:pPr>
      <w:r w:rsidRPr="006B690D">
        <w:rPr>
          <w:rFonts w:ascii="Lato" w:hAnsi="Lato" w:cs="Times New Roman"/>
          <w:sz w:val="22"/>
          <w:szCs w:val="22"/>
        </w:rPr>
        <w:t xml:space="preserve">Proiectul a urmărit </w:t>
      </w:r>
      <w:r w:rsidR="00E3156B" w:rsidRPr="006B690D">
        <w:rPr>
          <w:rFonts w:ascii="Lato" w:hAnsi="Lato" w:cs="Times New Roman"/>
          <w:sz w:val="22"/>
          <w:szCs w:val="22"/>
        </w:rPr>
        <w:t>dezvoltarea rolurilor și modificărilor celulelor murale cerebrovasculare în patogeneza AAC/BA, utiliz</w:t>
      </w:r>
      <w:r w:rsidR="00431152" w:rsidRPr="006B690D">
        <w:rPr>
          <w:rFonts w:ascii="Lato" w:hAnsi="Lato" w:cs="Times New Roman"/>
          <w:sz w:val="22"/>
          <w:szCs w:val="22"/>
        </w:rPr>
        <w:t>area</w:t>
      </w:r>
      <w:r w:rsidR="00E3156B" w:rsidRPr="006B690D">
        <w:rPr>
          <w:rFonts w:ascii="Lato" w:hAnsi="Lato" w:cs="Times New Roman"/>
          <w:sz w:val="22"/>
          <w:szCs w:val="22"/>
        </w:rPr>
        <w:t xml:space="preserve"> </w:t>
      </w:r>
      <w:r w:rsidR="00E23109" w:rsidRPr="006B690D">
        <w:rPr>
          <w:rFonts w:ascii="Lato" w:hAnsi="Lato" w:cs="Times New Roman"/>
          <w:sz w:val="22"/>
          <w:szCs w:val="22"/>
        </w:rPr>
        <w:t xml:space="preserve">de </w:t>
      </w:r>
      <w:r w:rsidR="00E3156B" w:rsidRPr="006B690D">
        <w:rPr>
          <w:rFonts w:ascii="Lato" w:hAnsi="Lato" w:cs="Times New Roman"/>
          <w:sz w:val="22"/>
          <w:szCs w:val="22"/>
        </w:rPr>
        <w:t>noi modele in vivo, țesut uman</w:t>
      </w:r>
      <w:r w:rsidR="00431152" w:rsidRPr="006B690D">
        <w:rPr>
          <w:rFonts w:ascii="Lato" w:hAnsi="Lato" w:cs="Times New Roman"/>
          <w:sz w:val="22"/>
          <w:szCs w:val="22"/>
        </w:rPr>
        <w:t xml:space="preserve"> </w:t>
      </w:r>
      <w:r w:rsidR="00E3156B" w:rsidRPr="006B690D">
        <w:rPr>
          <w:rFonts w:ascii="Lato" w:hAnsi="Lato" w:cs="Times New Roman"/>
          <w:sz w:val="22"/>
          <w:szCs w:val="22"/>
        </w:rPr>
        <w:t>postmortem,</w:t>
      </w:r>
      <w:r w:rsidR="00AD0EC7" w:rsidRPr="006B690D">
        <w:rPr>
          <w:rFonts w:ascii="Lato" w:hAnsi="Lato" w:cs="Times New Roman"/>
          <w:sz w:val="22"/>
          <w:szCs w:val="22"/>
        </w:rPr>
        <w:t xml:space="preserve"> </w:t>
      </w:r>
      <w:r w:rsidR="00E3156B" w:rsidRPr="006B690D">
        <w:rPr>
          <w:rFonts w:ascii="Lato" w:hAnsi="Lato" w:cs="Times New Roman"/>
          <w:sz w:val="22"/>
          <w:szCs w:val="22"/>
        </w:rPr>
        <w:t xml:space="preserve">microdisecție cu laser ex vivo </w:t>
      </w:r>
      <w:r w:rsidR="00AD0EC7" w:rsidRPr="006B690D">
        <w:rPr>
          <w:rFonts w:ascii="Lato" w:hAnsi="Lato" w:cs="Times New Roman"/>
          <w:sz w:val="22"/>
          <w:szCs w:val="22"/>
        </w:rPr>
        <w:t>ș</w:t>
      </w:r>
      <w:r w:rsidR="00E3156B" w:rsidRPr="006B690D">
        <w:rPr>
          <w:rFonts w:ascii="Lato" w:hAnsi="Lato" w:cs="Times New Roman"/>
          <w:sz w:val="22"/>
          <w:szCs w:val="22"/>
        </w:rPr>
        <w:t>i sisteme microfluidice</w:t>
      </w:r>
      <w:r w:rsidR="00E23109" w:rsidRPr="006B690D">
        <w:rPr>
          <w:rFonts w:ascii="Lato" w:hAnsi="Lato" w:cs="Times New Roman"/>
          <w:sz w:val="22"/>
          <w:szCs w:val="22"/>
        </w:rPr>
        <w:t xml:space="preserve"> </w:t>
      </w:r>
      <w:r w:rsidR="00E3156B" w:rsidRPr="006B690D">
        <w:rPr>
          <w:rFonts w:ascii="Lato" w:hAnsi="Lato" w:cs="Times New Roman"/>
          <w:sz w:val="22"/>
          <w:szCs w:val="22"/>
        </w:rPr>
        <w:t>de culturi celulare</w:t>
      </w:r>
      <w:r w:rsidR="00431152" w:rsidRPr="006B690D">
        <w:rPr>
          <w:rFonts w:ascii="Lato" w:hAnsi="Lato" w:cs="Times New Roman"/>
          <w:sz w:val="22"/>
          <w:szCs w:val="22"/>
        </w:rPr>
        <w:t xml:space="preserve"> care s</w:t>
      </w:r>
      <w:r w:rsidR="00E23109" w:rsidRPr="006B690D">
        <w:rPr>
          <w:rFonts w:ascii="Lato" w:hAnsi="Lato" w:cs="Times New Roman"/>
          <w:sz w:val="22"/>
          <w:szCs w:val="22"/>
        </w:rPr>
        <w:t>ă</w:t>
      </w:r>
      <w:r w:rsidR="00431152" w:rsidRPr="006B690D">
        <w:rPr>
          <w:rFonts w:ascii="Lato" w:hAnsi="Lato" w:cs="Times New Roman"/>
          <w:sz w:val="22"/>
          <w:szCs w:val="22"/>
        </w:rPr>
        <w:t xml:space="preserve"> clarifice mecanismul exact prin care celulele murale sunt elemente cheie pentru DPAM</w:t>
      </w:r>
      <w:r w:rsidR="00E23109" w:rsidRPr="006B690D">
        <w:rPr>
          <w:rFonts w:ascii="Lato" w:hAnsi="Lato" w:cs="Times New Roman"/>
          <w:sz w:val="22"/>
          <w:szCs w:val="22"/>
        </w:rPr>
        <w:t xml:space="preserve">, precum </w:t>
      </w:r>
      <w:r w:rsidR="00431152" w:rsidRPr="006B690D">
        <w:rPr>
          <w:rFonts w:ascii="Lato" w:hAnsi="Lato" w:cs="Times New Roman"/>
          <w:sz w:val="22"/>
          <w:szCs w:val="22"/>
        </w:rPr>
        <w:t>și s</w:t>
      </w:r>
      <w:r w:rsidR="00E23109" w:rsidRPr="006B690D">
        <w:rPr>
          <w:rFonts w:ascii="Lato" w:hAnsi="Lato" w:cs="Times New Roman"/>
          <w:sz w:val="22"/>
          <w:szCs w:val="22"/>
        </w:rPr>
        <w:t>ă</w:t>
      </w:r>
      <w:r w:rsidR="00431152" w:rsidRPr="006B690D">
        <w:rPr>
          <w:rFonts w:ascii="Lato" w:hAnsi="Lato" w:cs="Times New Roman"/>
          <w:sz w:val="22"/>
          <w:szCs w:val="22"/>
        </w:rPr>
        <w:t xml:space="preserve"> identifice noi ținte terapeutice sub formă de ajutor </w:t>
      </w:r>
      <w:r w:rsidR="004E6844" w:rsidRPr="006B690D">
        <w:rPr>
          <w:rFonts w:ascii="Lato" w:hAnsi="Lato" w:cs="Times New Roman"/>
          <w:sz w:val="22"/>
          <w:szCs w:val="22"/>
        </w:rPr>
        <w:t>adrenergici, colinergici și noi biomarkeri imagistici</w:t>
      </w:r>
      <w:r w:rsidR="00E23109" w:rsidRPr="006B690D">
        <w:rPr>
          <w:rFonts w:ascii="Lato" w:hAnsi="Lato" w:cs="Times New Roman"/>
          <w:sz w:val="22"/>
          <w:szCs w:val="22"/>
        </w:rPr>
        <w:t xml:space="preserve"> </w:t>
      </w:r>
      <w:r w:rsidR="004E6844" w:rsidRPr="006B690D">
        <w:rPr>
          <w:rFonts w:ascii="Lato" w:hAnsi="Lato" w:cs="Times New Roman"/>
          <w:sz w:val="22"/>
          <w:szCs w:val="22"/>
        </w:rPr>
        <w:t>și serologigi</w:t>
      </w:r>
      <w:r w:rsidR="00E23109" w:rsidRPr="006B690D">
        <w:rPr>
          <w:rFonts w:ascii="Lato" w:hAnsi="Lato" w:cs="Times New Roman"/>
          <w:sz w:val="22"/>
          <w:szCs w:val="22"/>
        </w:rPr>
        <w:t xml:space="preserve">, </w:t>
      </w:r>
      <w:r w:rsidR="004E6844" w:rsidRPr="006B690D">
        <w:rPr>
          <w:rFonts w:ascii="Lato" w:hAnsi="Lato" w:cs="Times New Roman"/>
          <w:sz w:val="22"/>
          <w:szCs w:val="22"/>
        </w:rPr>
        <w:t xml:space="preserve">care sunt sensibili și specifici pentru integritatea celulelor murale </w:t>
      </w:r>
      <w:r w:rsidR="00E23109" w:rsidRPr="006B690D">
        <w:rPr>
          <w:rFonts w:ascii="Lato" w:hAnsi="Lato" w:cs="Times New Roman"/>
          <w:sz w:val="22"/>
          <w:szCs w:val="22"/>
        </w:rPr>
        <w:t>ș</w:t>
      </w:r>
      <w:r w:rsidR="004E6844" w:rsidRPr="006B690D">
        <w:rPr>
          <w:rFonts w:ascii="Lato" w:hAnsi="Lato" w:cs="Times New Roman"/>
          <w:sz w:val="22"/>
          <w:szCs w:val="22"/>
        </w:rPr>
        <w:t>i pentru depistarea precoce a AAC</w:t>
      </w:r>
      <w:r w:rsidR="00E23109" w:rsidRPr="006B690D">
        <w:rPr>
          <w:rFonts w:ascii="Lato" w:hAnsi="Lato" w:cs="Times New Roman"/>
          <w:sz w:val="22"/>
          <w:szCs w:val="22"/>
        </w:rPr>
        <w:t>/</w:t>
      </w:r>
      <w:r w:rsidR="004E6844" w:rsidRPr="006B690D">
        <w:rPr>
          <w:rFonts w:ascii="Lato" w:hAnsi="Lato" w:cs="Times New Roman"/>
          <w:sz w:val="22"/>
          <w:szCs w:val="22"/>
        </w:rPr>
        <w:t>BA</w:t>
      </w:r>
      <w:r w:rsidR="00E23109" w:rsidRPr="006B690D">
        <w:rPr>
          <w:rFonts w:ascii="Lato" w:hAnsi="Lato" w:cs="Times New Roman"/>
          <w:sz w:val="22"/>
          <w:szCs w:val="22"/>
        </w:rPr>
        <w:t xml:space="preserve">. </w:t>
      </w:r>
    </w:p>
    <w:p w14:paraId="7994F962" w14:textId="7AC34E24" w:rsidR="007933B8" w:rsidRPr="006B690D" w:rsidRDefault="007E3215" w:rsidP="000C2469">
      <w:pPr>
        <w:spacing w:before="120" w:after="100" w:line="276" w:lineRule="auto"/>
        <w:jc w:val="both"/>
        <w:rPr>
          <w:rFonts w:ascii="Lato" w:hAnsi="Lato" w:cs="Times New Roman"/>
          <w:b/>
          <w:bCs/>
          <w:color w:val="0047AB"/>
          <w:sz w:val="22"/>
          <w:szCs w:val="22"/>
        </w:rPr>
      </w:pPr>
      <w:r w:rsidRPr="006B690D">
        <w:rPr>
          <w:rFonts w:ascii="Lato" w:hAnsi="Lato" w:cs="Times New Roman"/>
          <w:b/>
          <w:bCs/>
          <w:color w:val="0047AB"/>
          <w:sz w:val="22"/>
          <w:szCs w:val="22"/>
        </w:rPr>
        <w:t>Obiective specifice</w:t>
      </w:r>
    </w:p>
    <w:p w14:paraId="3199BFA1" w14:textId="2DD02D5B" w:rsidR="004E6844" w:rsidRPr="006B690D" w:rsidRDefault="00276698" w:rsidP="000C2469">
      <w:pPr>
        <w:spacing w:before="120" w:after="100" w:line="276" w:lineRule="auto"/>
        <w:jc w:val="both"/>
        <w:rPr>
          <w:rFonts w:ascii="Lato" w:hAnsi="Lato" w:cs="Times New Roman"/>
          <w:b/>
          <w:bCs/>
          <w:color w:val="0047AB"/>
          <w:sz w:val="22"/>
          <w:szCs w:val="22"/>
        </w:rPr>
      </w:pPr>
      <w:r w:rsidRPr="006B690D">
        <w:rPr>
          <w:rFonts w:ascii="Lato" w:hAnsi="Lato" w:cs="Times New Roman"/>
          <w:color w:val="0F0F0F"/>
          <w:sz w:val="22"/>
          <w:szCs w:val="22"/>
        </w:rPr>
        <w:t>Dezvoltarea rolurilor și modificăril</w:t>
      </w:r>
      <w:r w:rsidR="00C60C73" w:rsidRPr="006B690D">
        <w:rPr>
          <w:rFonts w:ascii="Lato" w:hAnsi="Lato" w:cs="Times New Roman"/>
          <w:color w:val="0F0F0F"/>
          <w:sz w:val="22"/>
          <w:szCs w:val="22"/>
        </w:rPr>
        <w:t>or</w:t>
      </w:r>
      <w:r w:rsidRPr="006B690D">
        <w:rPr>
          <w:rFonts w:ascii="Lato" w:hAnsi="Lato" w:cs="Times New Roman"/>
          <w:color w:val="0F0F0F"/>
          <w:sz w:val="22"/>
          <w:szCs w:val="22"/>
        </w:rPr>
        <w:t xml:space="preserve"> celulelor murale cerebrovasculare în patogeneza AAC/BA, utiliza</w:t>
      </w:r>
      <w:r w:rsidR="00E865A3" w:rsidRPr="006B690D">
        <w:rPr>
          <w:rFonts w:ascii="Lato" w:hAnsi="Lato" w:cs="Times New Roman"/>
          <w:color w:val="0F0F0F"/>
          <w:sz w:val="22"/>
          <w:szCs w:val="22"/>
        </w:rPr>
        <w:t>rea de</w:t>
      </w:r>
      <w:r w:rsidRPr="006B690D">
        <w:rPr>
          <w:rFonts w:ascii="Lato" w:hAnsi="Lato" w:cs="Times New Roman"/>
          <w:color w:val="0F0F0F"/>
          <w:sz w:val="22"/>
          <w:szCs w:val="22"/>
        </w:rPr>
        <w:t xml:space="preserve"> noi modele </w:t>
      </w:r>
      <w:r w:rsidRPr="006B690D">
        <w:rPr>
          <w:rStyle w:val="Emphasis"/>
          <w:rFonts w:ascii="Lato" w:hAnsi="Lato" w:cs="Times New Roman"/>
          <w:color w:val="0F0F0F"/>
          <w:sz w:val="22"/>
          <w:szCs w:val="22"/>
        </w:rPr>
        <w:t>in vivo</w:t>
      </w:r>
      <w:r w:rsidRPr="006B690D">
        <w:rPr>
          <w:rFonts w:ascii="Lato" w:hAnsi="Lato" w:cs="Times New Roman"/>
          <w:color w:val="0F0F0F"/>
          <w:sz w:val="22"/>
          <w:szCs w:val="22"/>
        </w:rPr>
        <w:t>, țesut uman post-mortem, microdisecție cu laser </w:t>
      </w:r>
      <w:r w:rsidRPr="006B690D">
        <w:rPr>
          <w:rStyle w:val="Emphasis"/>
          <w:rFonts w:ascii="Lato" w:hAnsi="Lato" w:cs="Times New Roman"/>
          <w:color w:val="0F0F0F"/>
          <w:sz w:val="22"/>
          <w:szCs w:val="22"/>
        </w:rPr>
        <w:t>ex vivo </w:t>
      </w:r>
      <w:r w:rsidRPr="006B690D">
        <w:rPr>
          <w:rFonts w:ascii="Lato" w:hAnsi="Lato" w:cs="Times New Roman"/>
          <w:color w:val="0F0F0F"/>
          <w:sz w:val="22"/>
          <w:szCs w:val="22"/>
        </w:rPr>
        <w:t>și sisteme microfluidice de culturi celulare,  nouă ablație electrochimică </w:t>
      </w:r>
      <w:r w:rsidRPr="006B690D">
        <w:rPr>
          <w:rStyle w:val="Emphasis"/>
          <w:rFonts w:ascii="Lato" w:hAnsi="Lato" w:cs="Times New Roman"/>
          <w:color w:val="0F0F0F"/>
          <w:sz w:val="22"/>
          <w:szCs w:val="22"/>
        </w:rPr>
        <w:t>in vivo </w:t>
      </w:r>
      <w:r w:rsidRPr="006B690D">
        <w:rPr>
          <w:rFonts w:ascii="Lato" w:hAnsi="Lato" w:cs="Times New Roman"/>
          <w:color w:val="0F0F0F"/>
          <w:sz w:val="22"/>
          <w:szCs w:val="22"/>
        </w:rPr>
        <w:t>și intervenții terapeutice pentru a restabili un DPAM normal în modele cu celule murale vasculare absente, implementarea unor noi biomarkeri imagistici și serologici ai celulelor murale erebrovasculare umane normale.</w:t>
      </w:r>
    </w:p>
    <w:p w14:paraId="49BBA9E3" w14:textId="77777777" w:rsidR="007933B8" w:rsidRPr="006B690D" w:rsidRDefault="007E3215" w:rsidP="000C2469">
      <w:pPr>
        <w:spacing w:before="160" w:after="100" w:line="276" w:lineRule="auto"/>
        <w:jc w:val="both"/>
        <w:rPr>
          <w:rFonts w:ascii="Lato" w:hAnsi="Lato" w:cs="Times New Roman"/>
          <w:sz w:val="22"/>
          <w:szCs w:val="22"/>
        </w:rPr>
      </w:pPr>
      <w:r w:rsidRPr="006B690D">
        <w:rPr>
          <w:rFonts w:ascii="Lato" w:hAnsi="Lato" w:cs="Times New Roman"/>
          <w:b/>
          <w:bCs/>
          <w:color w:val="0047AB"/>
          <w:sz w:val="22"/>
          <w:szCs w:val="22"/>
        </w:rPr>
        <w:t>Rezultatele proiectului</w:t>
      </w:r>
    </w:p>
    <w:p w14:paraId="567FC327" w14:textId="7D666E7B" w:rsidR="00B5338B" w:rsidRPr="006B690D" w:rsidRDefault="007E3215" w:rsidP="000C2469">
      <w:pPr>
        <w:spacing w:after="160" w:line="276" w:lineRule="auto"/>
        <w:jc w:val="both"/>
        <w:rPr>
          <w:rFonts w:ascii="Lato" w:hAnsi="Lato" w:cs="Times New Roman"/>
          <w:sz w:val="22"/>
          <w:szCs w:val="22"/>
        </w:rPr>
      </w:pPr>
      <w:r w:rsidRPr="006B690D">
        <w:rPr>
          <w:rFonts w:ascii="Lato" w:hAnsi="Lato" w:cs="Times New Roman"/>
          <w:sz w:val="22"/>
          <w:szCs w:val="22"/>
        </w:rPr>
        <w:t>Pe parcursul celor 3</w:t>
      </w:r>
      <w:r w:rsidR="004E6844" w:rsidRPr="006B690D">
        <w:rPr>
          <w:rFonts w:ascii="Lato" w:hAnsi="Lato" w:cs="Times New Roman"/>
          <w:sz w:val="22"/>
          <w:szCs w:val="22"/>
        </w:rPr>
        <w:t>6</w:t>
      </w:r>
      <w:r w:rsidRPr="006B690D">
        <w:rPr>
          <w:rFonts w:ascii="Lato" w:hAnsi="Lato" w:cs="Times New Roman"/>
          <w:sz w:val="22"/>
          <w:szCs w:val="22"/>
        </w:rPr>
        <w:t xml:space="preserve"> de luni de implementare, echipa de cercetare a obținut rezultate științifice consistente, diseminate prin</w:t>
      </w:r>
      <w:r w:rsidR="008B0191" w:rsidRPr="006B690D">
        <w:rPr>
          <w:rFonts w:ascii="Lato" w:hAnsi="Lato" w:cs="Times New Roman"/>
          <w:sz w:val="22"/>
          <w:szCs w:val="22"/>
        </w:rPr>
        <w:t xml:space="preserve"> </w:t>
      </w:r>
      <w:r w:rsidR="008B0191" w:rsidRPr="006B690D">
        <w:rPr>
          <w:rFonts w:ascii="Lato" w:hAnsi="Lato" w:cs="Times New Roman"/>
          <w:b/>
          <w:bCs/>
          <w:sz w:val="22"/>
          <w:szCs w:val="22"/>
        </w:rPr>
        <w:t xml:space="preserve">5 </w:t>
      </w:r>
      <w:r w:rsidRPr="006B690D">
        <w:rPr>
          <w:rFonts w:ascii="Lato" w:hAnsi="Lato" w:cs="Times New Roman"/>
          <w:b/>
          <w:bCs/>
          <w:sz w:val="22"/>
          <w:szCs w:val="22"/>
        </w:rPr>
        <w:t xml:space="preserve">articole </w:t>
      </w:r>
      <w:r w:rsidR="000C2469" w:rsidRPr="006B690D">
        <w:rPr>
          <w:rFonts w:ascii="Lato" w:hAnsi="Lato" w:cs="Times New Roman"/>
          <w:b/>
          <w:bCs/>
          <w:sz w:val="22"/>
          <w:szCs w:val="22"/>
        </w:rPr>
        <w:t>transmise spre publicare</w:t>
      </w:r>
      <w:r w:rsidRPr="006B690D">
        <w:rPr>
          <w:rFonts w:ascii="Lato" w:hAnsi="Lato" w:cs="Times New Roman"/>
          <w:b/>
          <w:bCs/>
          <w:sz w:val="22"/>
          <w:szCs w:val="22"/>
        </w:rPr>
        <w:t xml:space="preserve"> în reviste internaționale </w:t>
      </w:r>
      <w:r w:rsidRPr="006B690D">
        <w:rPr>
          <w:rFonts w:ascii="Lato" w:hAnsi="Lato" w:cs="Times New Roman"/>
          <w:b/>
          <w:bCs/>
          <w:sz w:val="22"/>
          <w:szCs w:val="22"/>
        </w:rPr>
        <w:lastRenderedPageBreak/>
        <w:t>indexate Web of Science</w:t>
      </w:r>
      <w:r w:rsidRPr="006B690D">
        <w:rPr>
          <w:rFonts w:ascii="Lato" w:hAnsi="Lato" w:cs="Times New Roman"/>
          <w:sz w:val="22"/>
          <w:szCs w:val="22"/>
        </w:rPr>
        <w:t xml:space="preserve"> </w:t>
      </w:r>
      <w:r w:rsidR="000C2469" w:rsidRPr="006B690D">
        <w:rPr>
          <w:rFonts w:ascii="Lato" w:hAnsi="Lato" w:cs="Times New Roman"/>
          <w:sz w:val="22"/>
          <w:szCs w:val="22"/>
        </w:rPr>
        <w:t xml:space="preserve"> </w:t>
      </w:r>
      <w:r w:rsidR="000C2469" w:rsidRPr="006B690D">
        <w:rPr>
          <w:rFonts w:ascii="Lato" w:hAnsi="Lato" w:cs="Times New Roman"/>
          <w:b/>
          <w:bCs/>
          <w:sz w:val="22"/>
          <w:szCs w:val="22"/>
        </w:rPr>
        <w:t xml:space="preserve">și </w:t>
      </w:r>
      <w:r w:rsidR="00B91032" w:rsidRPr="006B690D">
        <w:rPr>
          <w:rFonts w:ascii="Lato" w:hAnsi="Lato" w:cs="Times New Roman"/>
          <w:b/>
          <w:bCs/>
          <w:sz w:val="22"/>
          <w:szCs w:val="22"/>
        </w:rPr>
        <w:t>9</w:t>
      </w:r>
      <w:r w:rsidRPr="006B690D">
        <w:rPr>
          <w:rFonts w:ascii="Lato" w:hAnsi="Lato" w:cs="Times New Roman"/>
          <w:b/>
          <w:bCs/>
          <w:sz w:val="22"/>
          <w:szCs w:val="22"/>
        </w:rPr>
        <w:t xml:space="preserve"> lucrări prezentate la conferințe naționale și internaționale</w:t>
      </w:r>
      <w:r w:rsidRPr="006B690D">
        <w:rPr>
          <w:rFonts w:ascii="Lato" w:hAnsi="Lato" w:cs="Times New Roman"/>
          <w:sz w:val="22"/>
          <w:szCs w:val="22"/>
        </w:rPr>
        <w:t xml:space="preserve"> de prestigiu. </w:t>
      </w:r>
    </w:p>
    <w:p w14:paraId="246403DE" w14:textId="23D5A9CA" w:rsidR="007933B8" w:rsidRPr="006B690D" w:rsidRDefault="007E3215" w:rsidP="000C2469">
      <w:pPr>
        <w:spacing w:before="160" w:after="100" w:line="276" w:lineRule="auto"/>
        <w:jc w:val="both"/>
        <w:rPr>
          <w:rFonts w:ascii="Lato" w:hAnsi="Lato" w:cs="Times New Roman"/>
          <w:sz w:val="22"/>
          <w:szCs w:val="22"/>
        </w:rPr>
      </w:pPr>
      <w:r w:rsidRPr="006B690D">
        <w:rPr>
          <w:rFonts w:ascii="Lato" w:hAnsi="Lato" w:cs="Times New Roman"/>
          <w:b/>
          <w:bCs/>
          <w:color w:val="0047AB"/>
          <w:sz w:val="22"/>
          <w:szCs w:val="22"/>
        </w:rPr>
        <w:t>Impactul proiectului</w:t>
      </w:r>
    </w:p>
    <w:p w14:paraId="2BF51233" w14:textId="0FB94C1B" w:rsidR="007933B8" w:rsidRDefault="007E3215" w:rsidP="000C2469">
      <w:pPr>
        <w:spacing w:after="160" w:line="276" w:lineRule="auto"/>
        <w:jc w:val="both"/>
        <w:rPr>
          <w:rFonts w:ascii="Lato" w:hAnsi="Lato" w:cs="Times New Roman"/>
          <w:sz w:val="22"/>
          <w:szCs w:val="22"/>
        </w:rPr>
      </w:pPr>
      <w:r w:rsidRPr="006B690D">
        <w:rPr>
          <w:rFonts w:ascii="Lato" w:hAnsi="Lato" w:cs="Times New Roman"/>
          <w:sz w:val="22"/>
          <w:szCs w:val="22"/>
        </w:rPr>
        <w:t xml:space="preserve">Prin finanțarea PNRR, proiectul a contribuit la atragerea și integrarea de resurse umane înalt specializate în activitatea de cercetare a UMFST </w:t>
      </w:r>
      <w:r w:rsidR="00663688" w:rsidRPr="006B690D">
        <w:rPr>
          <w:rFonts w:ascii="Lato" w:hAnsi="Lato" w:cs="Times New Roman"/>
          <w:sz w:val="22"/>
          <w:szCs w:val="22"/>
        </w:rPr>
        <w:t>G.E. Palade</w:t>
      </w:r>
      <w:r w:rsidRPr="006B690D">
        <w:rPr>
          <w:rFonts w:ascii="Lato" w:hAnsi="Lato" w:cs="Times New Roman"/>
          <w:sz w:val="22"/>
          <w:szCs w:val="22"/>
        </w:rPr>
        <w:t xml:space="preserve"> Târgu Mureș, consolidând capacitatea instituțională de cercetare biomedicală de nivel internațional. Rezultatele obținute la nivelul universității și al regiunii sporesc vizibilitatea științifică a centrului universitar mureșean și creează premisele pentru parteneriate viitoare și pentru transferul cunoștințelor către practica clinică, în beneficiul pacienților </w:t>
      </w:r>
      <w:r w:rsidR="00B5338B" w:rsidRPr="006B690D">
        <w:rPr>
          <w:rFonts w:ascii="Lato" w:hAnsi="Lato" w:cs="Times New Roman"/>
          <w:sz w:val="22"/>
          <w:szCs w:val="22"/>
        </w:rPr>
        <w:t>cu Alzheimer</w:t>
      </w:r>
      <w:r w:rsidR="00246449" w:rsidRPr="006B690D">
        <w:rPr>
          <w:rFonts w:ascii="Lato" w:hAnsi="Lato" w:cs="Times New Roman"/>
          <w:sz w:val="22"/>
          <w:szCs w:val="22"/>
        </w:rPr>
        <w:t>.</w:t>
      </w:r>
    </w:p>
    <w:p w14:paraId="52A960AE" w14:textId="77777777" w:rsidR="006B690D" w:rsidRPr="006B690D" w:rsidRDefault="006B690D" w:rsidP="000C2469">
      <w:pPr>
        <w:spacing w:after="160" w:line="276" w:lineRule="auto"/>
        <w:jc w:val="both"/>
        <w:rPr>
          <w:rFonts w:ascii="Lato" w:hAnsi="Lato" w:cs="Times New Roman"/>
          <w:sz w:val="22"/>
          <w:szCs w:val="22"/>
        </w:rPr>
      </w:pPr>
    </w:p>
    <w:p w14:paraId="73C7EAFE" w14:textId="77777777" w:rsidR="007933B8" w:rsidRPr="006B690D" w:rsidRDefault="007E3215" w:rsidP="000C2469">
      <w:pPr>
        <w:spacing w:before="240" w:after="80" w:line="276" w:lineRule="auto"/>
        <w:jc w:val="both"/>
        <w:rPr>
          <w:rFonts w:ascii="Lato" w:hAnsi="Lato" w:cs="Times New Roman"/>
          <w:sz w:val="22"/>
          <w:szCs w:val="22"/>
        </w:rPr>
      </w:pPr>
      <w:r w:rsidRPr="006B690D">
        <w:rPr>
          <w:rFonts w:ascii="Lato" w:hAnsi="Lato" w:cs="Times New Roman"/>
          <w:noProof/>
          <w:sz w:val="22"/>
          <w:szCs w:val="22"/>
        </w:rPr>
        <w:drawing>
          <wp:inline distT="0" distB="0" distL="0" distR="0" wp14:anchorId="787EF719" wp14:editId="39DA7A23">
            <wp:extent cx="2286000" cy="619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286000" cy="619125"/>
                    </a:xfrm>
                    <a:prstGeom prst="rect">
                      <a:avLst/>
                    </a:prstGeom>
                  </pic:spPr>
                </pic:pic>
              </a:graphicData>
            </a:graphic>
          </wp:inline>
        </w:drawing>
      </w:r>
    </w:p>
    <w:p w14:paraId="578F0284" w14:textId="3E12AD36" w:rsidR="007933B8" w:rsidRPr="006B690D" w:rsidRDefault="007E3215" w:rsidP="000C2469">
      <w:pPr>
        <w:spacing w:after="40" w:line="276" w:lineRule="auto"/>
        <w:jc w:val="both"/>
        <w:rPr>
          <w:rFonts w:ascii="Lato" w:hAnsi="Lato" w:cs="Times New Roman"/>
          <w:sz w:val="22"/>
          <w:szCs w:val="22"/>
        </w:rPr>
      </w:pPr>
      <w:r w:rsidRPr="006B690D">
        <w:rPr>
          <w:rFonts w:ascii="Lato" w:hAnsi="Lato" w:cs="Times New Roman"/>
          <w:b/>
          <w:bCs/>
          <w:sz w:val="22"/>
          <w:szCs w:val="22"/>
        </w:rPr>
        <w:t xml:space="preserve">Adresa UMFST: </w:t>
      </w:r>
      <w:r w:rsidRPr="006B690D">
        <w:rPr>
          <w:rFonts w:ascii="Lato" w:hAnsi="Lato" w:cs="Times New Roman"/>
          <w:sz w:val="22"/>
          <w:szCs w:val="22"/>
        </w:rPr>
        <w:t>Târgu Mureș, str. Gh. Marinescu</w:t>
      </w:r>
      <w:r w:rsidR="00663688" w:rsidRPr="006B690D">
        <w:rPr>
          <w:rFonts w:ascii="Lato" w:hAnsi="Lato" w:cs="Times New Roman"/>
          <w:sz w:val="22"/>
          <w:szCs w:val="22"/>
        </w:rPr>
        <w:t xml:space="preserve">, </w:t>
      </w:r>
      <w:r w:rsidRPr="006B690D">
        <w:rPr>
          <w:rFonts w:ascii="Lato" w:hAnsi="Lato" w:cs="Times New Roman"/>
          <w:sz w:val="22"/>
          <w:szCs w:val="22"/>
        </w:rPr>
        <w:t>nr. 38, 540142, județul Mureș, România</w:t>
      </w:r>
    </w:p>
    <w:p w14:paraId="24605FB1" w14:textId="77777777" w:rsidR="007933B8" w:rsidRPr="006B690D" w:rsidRDefault="007E3215" w:rsidP="000C2469">
      <w:pPr>
        <w:spacing w:after="240" w:line="276" w:lineRule="auto"/>
        <w:jc w:val="both"/>
        <w:rPr>
          <w:rFonts w:ascii="Lato" w:hAnsi="Lato" w:cs="Times New Roman"/>
          <w:sz w:val="22"/>
          <w:szCs w:val="22"/>
        </w:rPr>
      </w:pPr>
      <w:r w:rsidRPr="006B690D">
        <w:rPr>
          <w:rFonts w:ascii="Lato" w:hAnsi="Lato" w:cs="Times New Roman"/>
          <w:b/>
          <w:bCs/>
          <w:sz w:val="22"/>
          <w:szCs w:val="22"/>
        </w:rPr>
        <w:t xml:space="preserve">Web: </w:t>
      </w:r>
      <w:r w:rsidRPr="006B690D">
        <w:rPr>
          <w:rFonts w:ascii="Lato" w:hAnsi="Lato" w:cs="Times New Roman"/>
          <w:sz w:val="22"/>
          <w:szCs w:val="22"/>
        </w:rPr>
        <w:t>www.umfst.ro</w:t>
      </w:r>
      <w:r w:rsidRPr="006B690D">
        <w:rPr>
          <w:rFonts w:ascii="Lato" w:hAnsi="Lato" w:cs="Times New Roman"/>
          <w:b/>
          <w:bCs/>
          <w:sz w:val="22"/>
          <w:szCs w:val="22"/>
        </w:rPr>
        <w:t xml:space="preserve">  |  Email: </w:t>
      </w:r>
      <w:r w:rsidRPr="006B690D">
        <w:rPr>
          <w:rFonts w:ascii="Lato" w:hAnsi="Lato" w:cs="Times New Roman"/>
          <w:sz w:val="22"/>
          <w:szCs w:val="22"/>
        </w:rPr>
        <w:t>rectorat@umfst.ro</w:t>
      </w:r>
      <w:r w:rsidRPr="006B690D">
        <w:rPr>
          <w:rFonts w:ascii="Lato" w:hAnsi="Lato" w:cs="Times New Roman"/>
          <w:b/>
          <w:bCs/>
          <w:sz w:val="22"/>
          <w:szCs w:val="22"/>
        </w:rPr>
        <w:t xml:space="preserve">  |  Tel: </w:t>
      </w:r>
      <w:r w:rsidRPr="006B690D">
        <w:rPr>
          <w:rFonts w:ascii="Lato" w:hAnsi="Lato" w:cs="Times New Roman"/>
          <w:sz w:val="22"/>
          <w:szCs w:val="22"/>
        </w:rPr>
        <w:t>+40 265 215 551 ext. 246</w:t>
      </w:r>
      <w:r w:rsidRPr="006B690D">
        <w:rPr>
          <w:rFonts w:ascii="Lato" w:hAnsi="Lato" w:cs="Times New Roman"/>
          <w:b/>
          <w:bCs/>
          <w:sz w:val="22"/>
          <w:szCs w:val="22"/>
        </w:rPr>
        <w:t xml:space="preserve">  |  Fax: </w:t>
      </w:r>
      <w:r w:rsidRPr="006B690D">
        <w:rPr>
          <w:rFonts w:ascii="Lato" w:hAnsi="Lato" w:cs="Times New Roman"/>
          <w:sz w:val="22"/>
          <w:szCs w:val="22"/>
        </w:rPr>
        <w:t>+40 265 210 407</w:t>
      </w:r>
    </w:p>
    <w:p w14:paraId="2043C5B2" w14:textId="77777777" w:rsidR="007933B8" w:rsidRPr="006B690D" w:rsidRDefault="007E3215" w:rsidP="000C2469">
      <w:pPr>
        <w:pBdr>
          <w:top w:val="single" w:sz="6" w:space="8" w:color="0047AB"/>
        </w:pBdr>
        <w:spacing w:before="120" w:after="120" w:line="276" w:lineRule="auto"/>
        <w:jc w:val="both"/>
        <w:rPr>
          <w:rFonts w:ascii="Lato" w:hAnsi="Lato" w:cs="Times New Roman"/>
          <w:sz w:val="22"/>
          <w:szCs w:val="22"/>
        </w:rPr>
      </w:pPr>
      <w:r w:rsidRPr="006B690D">
        <w:rPr>
          <w:rFonts w:ascii="Lato" w:hAnsi="Lato" w:cs="Times New Roman"/>
          <w:i/>
          <w:iCs/>
          <w:color w:val="555555"/>
          <w:sz w:val="22"/>
          <w:szCs w:val="22"/>
        </w:rPr>
        <w:t>„Conținutul acestui material nu reprezintă în mod obligatoriu poziția oficială a Uniunii Europene sau a Guvernului României”</w:t>
      </w:r>
    </w:p>
    <w:p w14:paraId="63040093" w14:textId="77777777" w:rsidR="007933B8" w:rsidRPr="006B690D" w:rsidRDefault="007E3215" w:rsidP="000C2469">
      <w:pPr>
        <w:spacing w:after="80" w:line="276" w:lineRule="auto"/>
        <w:jc w:val="both"/>
        <w:rPr>
          <w:rFonts w:ascii="Lato" w:hAnsi="Lato" w:cs="Times New Roman"/>
          <w:sz w:val="22"/>
          <w:szCs w:val="22"/>
        </w:rPr>
      </w:pPr>
      <w:r w:rsidRPr="006B690D">
        <w:rPr>
          <w:rFonts w:ascii="Lato" w:hAnsi="Lato" w:cs="Times New Roman"/>
          <w:b/>
          <w:bCs/>
          <w:color w:val="0047AB"/>
          <w:sz w:val="22"/>
          <w:szCs w:val="22"/>
        </w:rPr>
        <w:t>„PNRR. Finanțat de Uniunea Europeană – UrmătoareaGenerațieUE”</w:t>
      </w:r>
    </w:p>
    <w:p w14:paraId="2B96E91C" w14:textId="77777777" w:rsidR="007933B8" w:rsidRPr="006B690D" w:rsidRDefault="006B690D" w:rsidP="000C2469">
      <w:pPr>
        <w:spacing w:line="276" w:lineRule="auto"/>
        <w:jc w:val="both"/>
        <w:rPr>
          <w:rFonts w:ascii="Lato" w:hAnsi="Lato" w:cs="Times New Roman"/>
          <w:sz w:val="22"/>
          <w:szCs w:val="22"/>
        </w:rPr>
      </w:pPr>
      <w:hyperlink r:id="rId7" w:history="1">
        <w:r w:rsidR="007E3215" w:rsidRPr="006B690D">
          <w:rPr>
            <w:rFonts w:ascii="Lato" w:hAnsi="Lato" w:cs="Times New Roman"/>
            <w:color w:val="0563C1"/>
            <w:sz w:val="22"/>
            <w:szCs w:val="22"/>
            <w:u w:val="single"/>
          </w:rPr>
          <w:t>https://mfe.gov.ro/pnrr/</w:t>
        </w:r>
      </w:hyperlink>
      <w:r w:rsidR="007E3215" w:rsidRPr="006B690D">
        <w:rPr>
          <w:rFonts w:ascii="Lato" w:hAnsi="Lato" w:cs="Times New Roman"/>
          <w:sz w:val="22"/>
          <w:szCs w:val="22"/>
        </w:rPr>
        <w:t xml:space="preserve">          </w:t>
      </w:r>
      <w:hyperlink r:id="rId8" w:history="1">
        <w:r w:rsidR="007E3215" w:rsidRPr="006B690D">
          <w:rPr>
            <w:rFonts w:ascii="Lato" w:hAnsi="Lato" w:cs="Times New Roman"/>
            <w:color w:val="0563C1"/>
            <w:sz w:val="22"/>
            <w:szCs w:val="22"/>
            <w:u w:val="single"/>
          </w:rPr>
          <w:t>https://www.facebook.com/PNRROficial/</w:t>
        </w:r>
      </w:hyperlink>
    </w:p>
    <w:sectPr w:rsidR="007933B8" w:rsidRPr="006B690D">
      <w:pgSz w:w="11906" w:h="16838"/>
      <w:pgMar w:top="1080" w:right="1440" w:bottom="108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F168C"/>
    <w:multiLevelType w:val="hybridMultilevel"/>
    <w:tmpl w:val="54B4D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F34EF"/>
    <w:multiLevelType w:val="hybridMultilevel"/>
    <w:tmpl w:val="FE80004E"/>
    <w:lvl w:ilvl="0" w:tplc="2E7253F4">
      <w:start w:val="1"/>
      <w:numFmt w:val="bullet"/>
      <w:lvlText w:val="●"/>
      <w:lvlJc w:val="left"/>
      <w:pPr>
        <w:ind w:left="720" w:hanging="360"/>
      </w:pPr>
    </w:lvl>
    <w:lvl w:ilvl="1" w:tplc="3B300482">
      <w:start w:val="1"/>
      <w:numFmt w:val="bullet"/>
      <w:lvlText w:val="○"/>
      <w:lvlJc w:val="left"/>
      <w:pPr>
        <w:ind w:left="1440" w:hanging="360"/>
      </w:pPr>
    </w:lvl>
    <w:lvl w:ilvl="2" w:tplc="50F08070">
      <w:start w:val="1"/>
      <w:numFmt w:val="bullet"/>
      <w:lvlText w:val="■"/>
      <w:lvlJc w:val="left"/>
      <w:pPr>
        <w:ind w:left="2160" w:hanging="360"/>
      </w:pPr>
    </w:lvl>
    <w:lvl w:ilvl="3" w:tplc="DC7C23B8">
      <w:start w:val="1"/>
      <w:numFmt w:val="bullet"/>
      <w:lvlText w:val="●"/>
      <w:lvlJc w:val="left"/>
      <w:pPr>
        <w:ind w:left="2880" w:hanging="360"/>
      </w:pPr>
    </w:lvl>
    <w:lvl w:ilvl="4" w:tplc="979E3554">
      <w:start w:val="1"/>
      <w:numFmt w:val="bullet"/>
      <w:lvlText w:val="○"/>
      <w:lvlJc w:val="left"/>
      <w:pPr>
        <w:ind w:left="3600" w:hanging="360"/>
      </w:pPr>
    </w:lvl>
    <w:lvl w:ilvl="5" w:tplc="41502B28">
      <w:start w:val="1"/>
      <w:numFmt w:val="bullet"/>
      <w:lvlText w:val="■"/>
      <w:lvlJc w:val="left"/>
      <w:pPr>
        <w:ind w:left="4320" w:hanging="360"/>
      </w:pPr>
    </w:lvl>
    <w:lvl w:ilvl="6" w:tplc="190E7808">
      <w:start w:val="1"/>
      <w:numFmt w:val="bullet"/>
      <w:lvlText w:val="●"/>
      <w:lvlJc w:val="left"/>
      <w:pPr>
        <w:ind w:left="5040" w:hanging="360"/>
      </w:pPr>
    </w:lvl>
    <w:lvl w:ilvl="7" w:tplc="4B94CBB2">
      <w:start w:val="1"/>
      <w:numFmt w:val="bullet"/>
      <w:lvlText w:val="●"/>
      <w:lvlJc w:val="left"/>
      <w:pPr>
        <w:ind w:left="5760" w:hanging="360"/>
      </w:pPr>
    </w:lvl>
    <w:lvl w:ilvl="8" w:tplc="E098D226">
      <w:start w:val="1"/>
      <w:numFmt w:val="bullet"/>
      <w:lvlText w:val="●"/>
      <w:lvlJc w:val="left"/>
      <w:pPr>
        <w:ind w:left="6480" w:hanging="360"/>
      </w:pPr>
    </w:lvl>
  </w:abstractNum>
  <w:abstractNum w:abstractNumId="2" w15:restartNumberingAfterBreak="0">
    <w:nsid w:val="36034E41"/>
    <w:multiLevelType w:val="hybridMultilevel"/>
    <w:tmpl w:val="A84C0FB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36923EF6"/>
    <w:multiLevelType w:val="hybridMultilevel"/>
    <w:tmpl w:val="258CD15A"/>
    <w:lvl w:ilvl="0" w:tplc="06F2EB30">
      <w:start w:val="31"/>
      <w:numFmt w:val="bullet"/>
      <w:lvlText w:val="-"/>
      <w:lvlJc w:val="left"/>
      <w:pPr>
        <w:ind w:left="463" w:hanging="360"/>
      </w:pPr>
      <w:rPr>
        <w:rFonts w:ascii="Arial" w:eastAsiaTheme="minorEastAsia" w:hAnsi="Arial" w:cs="Aria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4" w15:restartNumberingAfterBreak="0">
    <w:nsid w:val="524432F8"/>
    <w:multiLevelType w:val="hybridMultilevel"/>
    <w:tmpl w:val="32565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6543A7"/>
    <w:multiLevelType w:val="hybridMultilevel"/>
    <w:tmpl w:val="1F22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3B8"/>
    <w:rsid w:val="00060628"/>
    <w:rsid w:val="000C2469"/>
    <w:rsid w:val="001855F0"/>
    <w:rsid w:val="00246449"/>
    <w:rsid w:val="00276698"/>
    <w:rsid w:val="00431152"/>
    <w:rsid w:val="004E6844"/>
    <w:rsid w:val="0058308D"/>
    <w:rsid w:val="00663688"/>
    <w:rsid w:val="006B690D"/>
    <w:rsid w:val="007933B8"/>
    <w:rsid w:val="007D387B"/>
    <w:rsid w:val="007E3215"/>
    <w:rsid w:val="00876210"/>
    <w:rsid w:val="008B0191"/>
    <w:rsid w:val="00AD0EC7"/>
    <w:rsid w:val="00AE00BC"/>
    <w:rsid w:val="00B053E3"/>
    <w:rsid w:val="00B5338B"/>
    <w:rsid w:val="00B91032"/>
    <w:rsid w:val="00C60C73"/>
    <w:rsid w:val="00C76D95"/>
    <w:rsid w:val="00CC443F"/>
    <w:rsid w:val="00D665B1"/>
    <w:rsid w:val="00E23109"/>
    <w:rsid w:val="00E3156B"/>
    <w:rsid w:val="00E77F70"/>
    <w:rsid w:val="00E865A3"/>
    <w:rsid w:val="00EE0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8147"/>
  <w15:docId w15:val="{77A6F624-0A19-40B9-8CE2-2E42368F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TableParagraph">
    <w:name w:val="Table Paragraph"/>
    <w:basedOn w:val="Normal"/>
    <w:uiPriority w:val="1"/>
    <w:qFormat/>
    <w:rsid w:val="001855F0"/>
    <w:pPr>
      <w:widowControl w:val="0"/>
      <w:autoSpaceDE w:val="0"/>
      <w:autoSpaceDN w:val="0"/>
      <w:adjustRightInd w:val="0"/>
      <w:ind w:left="4"/>
    </w:pPr>
    <w:rPr>
      <w:rFonts w:ascii="Times New Roman" w:eastAsiaTheme="minorEastAsia" w:hAnsi="Times New Roman" w:cs="Times New Roman"/>
      <w:sz w:val="24"/>
      <w:szCs w:val="24"/>
    </w:rPr>
  </w:style>
  <w:style w:type="character" w:styleId="Emphasis">
    <w:name w:val="Emphasis"/>
    <w:basedOn w:val="DefaultParagraphFont"/>
    <w:uiPriority w:val="20"/>
    <w:qFormat/>
    <w:rsid w:val="002766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acebook.com/PNRROficial/" TargetMode="External"/><Relationship Id="rId3" Type="http://schemas.openxmlformats.org/officeDocument/2006/relationships/settings" Target="settings.xml"/><Relationship Id="rId7" Type="http://schemas.openxmlformats.org/officeDocument/2006/relationships/hyperlink" Target="https://mfe.gov.ro/pn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566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4</cp:revision>
  <dcterms:created xsi:type="dcterms:W3CDTF">2026-06-26T07:58:00Z</dcterms:created>
  <dcterms:modified xsi:type="dcterms:W3CDTF">2026-06-26T10:42:00Z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83f6bd81-42a5-4ee2-b17c-a449fabd96cb</vt:lpwstr>
  </property>
</Properties>
</file>